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4" w:rsidRDefault="0054132B" w:rsidP="002E2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6E80" wp14:editId="263C30B1">
            <wp:simplePos x="0" y="0"/>
            <wp:positionH relativeFrom="column">
              <wp:posOffset>-7620</wp:posOffset>
            </wp:positionH>
            <wp:positionV relativeFrom="paragraph">
              <wp:posOffset>396240</wp:posOffset>
            </wp:positionV>
            <wp:extent cx="2545080" cy="853440"/>
            <wp:effectExtent l="0" t="0" r="0" b="0"/>
            <wp:wrapSquare wrapText="bothSides"/>
            <wp:docPr id="1" name="Obraz 1" descr="Logo KM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MU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72196" wp14:editId="149033D0">
            <wp:simplePos x="0" y="0"/>
            <wp:positionH relativeFrom="column">
              <wp:posOffset>3665220</wp:posOffset>
            </wp:positionH>
            <wp:positionV relativeFrom="paragraph">
              <wp:posOffset>358775</wp:posOffset>
            </wp:positionV>
            <wp:extent cx="2141220" cy="1028700"/>
            <wp:effectExtent l="0" t="0" r="0" b="0"/>
            <wp:wrapSquare wrapText="bothSides"/>
            <wp:docPr id="2" name="Obraz 2" descr="http://ecrgroup.eu/wp-content/uploads/2011/02/logo_ec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crgroup.eu/wp-content/uploads/2011/02/logo_ecr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CD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81CD4" w:rsidRDefault="00E81CD4" w:rsidP="002E2E77">
      <w:pPr>
        <w:rPr>
          <w:rFonts w:ascii="Times New Roman" w:hAnsi="Times New Roman" w:cs="Times New Roman"/>
          <w:b/>
          <w:sz w:val="24"/>
          <w:szCs w:val="24"/>
        </w:rPr>
      </w:pPr>
    </w:p>
    <w:p w:rsidR="0054132B" w:rsidRDefault="0054132B" w:rsidP="002E2E77">
      <w:pPr>
        <w:rPr>
          <w:rFonts w:ascii="Times New Roman" w:hAnsi="Times New Roman" w:cs="Times New Roman"/>
          <w:b/>
          <w:sz w:val="24"/>
          <w:szCs w:val="24"/>
        </w:rPr>
      </w:pPr>
    </w:p>
    <w:p w:rsidR="0054132B" w:rsidRDefault="0054132B" w:rsidP="002E2E77">
      <w:pPr>
        <w:rPr>
          <w:rFonts w:ascii="Times New Roman" w:hAnsi="Times New Roman" w:cs="Times New Roman"/>
          <w:b/>
          <w:sz w:val="24"/>
          <w:szCs w:val="24"/>
        </w:rPr>
      </w:pPr>
    </w:p>
    <w:p w:rsidR="00153961" w:rsidRPr="00153961" w:rsidRDefault="00153961" w:rsidP="00153961">
      <w:pPr>
        <w:spacing w:before="100" w:beforeAutospacing="1" w:after="100" w:afterAutospacing="1" w:line="240" w:lineRule="auto"/>
        <w:jc w:val="center"/>
        <w:outlineLvl w:val="0"/>
        <w:rPr>
          <w:rFonts w:ascii="Helvetica Light" w:eastAsia="Calibri" w:hAnsi="Helvetica Light" w:cs="Times New Roman"/>
          <w:b/>
          <w:kern w:val="36"/>
          <w:sz w:val="28"/>
          <w:szCs w:val="28"/>
          <w:lang w:eastAsia="en-US"/>
        </w:rPr>
      </w:pPr>
      <w:r w:rsidRPr="00153961">
        <w:rPr>
          <w:rFonts w:ascii="Helvetica" w:eastAsia="Calibri" w:hAnsi="Helvetica" w:cs="Times New Roman"/>
          <w:b/>
          <w:kern w:val="36"/>
          <w:sz w:val="28"/>
          <w:szCs w:val="28"/>
          <w:lang w:eastAsia="en-US"/>
        </w:rPr>
        <w:t>Walka z terroryzmem</w:t>
      </w:r>
      <w:r w:rsidRPr="00153961">
        <w:rPr>
          <w:rFonts w:ascii="Helvetica" w:eastAsia="Calibri" w:hAnsi="Helvetica" w:cs="Times New Roman"/>
          <w:b/>
          <w:kern w:val="36"/>
          <w:sz w:val="28"/>
          <w:szCs w:val="28"/>
          <w:lang w:eastAsia="en-US"/>
        </w:rPr>
        <w:br/>
      </w:r>
      <w:r w:rsidRPr="00153961">
        <w:rPr>
          <w:rFonts w:ascii="Helvetica Light" w:eastAsia="Calibri" w:hAnsi="Helvetica Light" w:cs="Times New Roman"/>
          <w:b/>
          <w:kern w:val="36"/>
          <w:sz w:val="28"/>
          <w:szCs w:val="28"/>
          <w:lang w:eastAsia="en-US"/>
        </w:rPr>
        <w:t xml:space="preserve"> Strategie i legislacja UE</w:t>
      </w:r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  <w:t xml:space="preserve">1. Statystyki </w:t>
      </w:r>
    </w:p>
    <w:p w:rsidR="00153961" w:rsidRPr="00153961" w:rsidRDefault="00153961" w:rsidP="0015396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151 ofiar ataków terrorystycznych w UE</w:t>
      </w:r>
    </w:p>
    <w:p w:rsidR="00153961" w:rsidRPr="00153961" w:rsidRDefault="00153961" w:rsidP="0015396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około 5000 Europejczyków dołączyło do organizacji terrorystycznych w Iraku I Syrii</w:t>
      </w:r>
    </w:p>
    <w:p w:rsidR="00153961" w:rsidRPr="00153961" w:rsidRDefault="00153961" w:rsidP="0015396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1077 osób aresztowanych w 2015 r. pod zarzutem przestępstw związanych z terroryzmem, głownie:</w:t>
      </w:r>
    </w:p>
    <w:p w:rsidR="00153961" w:rsidRPr="00153961" w:rsidRDefault="00153961" w:rsidP="00153961">
      <w:pPr>
        <w:numPr>
          <w:ilvl w:val="1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we Francji: 424</w:t>
      </w:r>
    </w:p>
    <w:p w:rsidR="00153961" w:rsidRPr="00153961" w:rsidRDefault="00153961" w:rsidP="00153961">
      <w:pPr>
        <w:numPr>
          <w:ilvl w:val="1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w Hiszpanii: 187</w:t>
      </w:r>
    </w:p>
    <w:p w:rsidR="00153961" w:rsidRPr="00153961" w:rsidRDefault="00153961" w:rsidP="00153961">
      <w:pPr>
        <w:numPr>
          <w:ilvl w:val="1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w Wielkiej Brytanii: 134</w:t>
      </w:r>
    </w:p>
    <w:p w:rsidR="00153961" w:rsidRPr="00153961" w:rsidRDefault="00153961" w:rsidP="0015396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Badanie Eurobarometr (Przeprowadzone na zlecenie EP, kwiecień 2016)</w:t>
      </w:r>
    </w:p>
    <w:p w:rsidR="00153961" w:rsidRPr="00153961" w:rsidRDefault="00153961" w:rsidP="00153961">
      <w:pPr>
        <w:numPr>
          <w:ilvl w:val="1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82% Europejczyków chce by UE robiła więcej w walce z terroryzmem</w:t>
      </w:r>
    </w:p>
    <w:p w:rsidR="00153961" w:rsidRPr="00153961" w:rsidRDefault="00153961" w:rsidP="00153961">
      <w:pPr>
        <w:numPr>
          <w:ilvl w:val="1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40% uważa ze ryzyko ataku jest wysokie w ich kraju</w:t>
      </w:r>
    </w:p>
    <w:p w:rsidR="00153961" w:rsidRPr="00153961" w:rsidRDefault="00153961" w:rsidP="0015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  <w:t xml:space="preserve">2. Dyrektywy </w:t>
      </w: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2.1. Dyrektywa 2017/853 – 17.05.2017 – zmieniająca dyrektywę Rady 91/477/EWG w 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>sprawie kontroli nabywania i posiadania broni</w:t>
      </w: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Dyrektywa wprowadza zmiany do dyrektyw aby zapewnić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oznakowanie, rejestracje i ogólne zwiększenie kontroli nad użyciem i handlem broni palnej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 w każdym państwie członkowskim.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"/>
          <w:bCs/>
          <w:sz w:val="24"/>
          <w:szCs w:val="24"/>
          <w:highlight w:val="yellow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2.2. Dyrektywa 2017/541 – 15.03.2017 –</w:t>
      </w: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 xml:space="preserve">w sprawie </w:t>
      </w:r>
      <w:r w:rsidRPr="00153961">
        <w:rPr>
          <w:rFonts w:ascii="Calibri" w:eastAsia="Calibri" w:hAnsi="Calibri" w:cs="Times"/>
          <w:b/>
          <w:bCs/>
          <w:sz w:val="24"/>
          <w:szCs w:val="24"/>
          <w:lang w:eastAsia="en-US"/>
        </w:rPr>
        <w:t xml:space="preserve">zwalczania terroryzmu 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i zast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>ęp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ują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>ca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 xml:space="preserve"> decyzj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ę 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ramow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ą 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Rady 2002/475/</w:t>
      </w:r>
      <w:proofErr w:type="spellStart"/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WSiSW</w:t>
      </w:r>
      <w:proofErr w:type="spellEnd"/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 xml:space="preserve"> oraz zmieniaj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>ąc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a decyzj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ę </w:t>
      </w:r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Rady 2005/671/</w:t>
      </w:r>
      <w:proofErr w:type="spellStart"/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>WSiSW</w:t>
      </w:r>
      <w:proofErr w:type="spellEnd"/>
      <w:r w:rsidRPr="00153961">
        <w:rPr>
          <w:rFonts w:ascii="Calibri" w:eastAsia="Calibri" w:hAnsi="Calibri" w:cs="Times"/>
          <w:bCs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numPr>
          <w:ilvl w:val="0"/>
          <w:numId w:val="16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Dyrektywa ustanawia </w:t>
      </w:r>
      <w:r w:rsidRPr="00153961">
        <w:rPr>
          <w:rFonts w:ascii="Calibri Light" w:eastAsia="Times New Roman" w:hAnsi="Calibri Light" w:cs="Times New Roman"/>
          <w:b/>
          <w:color w:val="2F5496"/>
          <w:sz w:val="24"/>
          <w:szCs w:val="24"/>
          <w:lang w:eastAsia="en-US"/>
        </w:rPr>
        <w:t xml:space="preserve">normy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minimalne dotyczące definicji przestępstw i sankcji w dziedzinie przestępstw terrorystycznych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, przestępstw dotyczących grupy terrorystycznej oraz przestępstw związanych z działalnością terrorystyczną, jak również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środki ochrony i wsparcia ofiar terroryzmu i pomocy tym ofiarom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>.</w:t>
      </w:r>
    </w:p>
    <w:p w:rsidR="00153961" w:rsidRPr="00153961" w:rsidRDefault="00153961" w:rsidP="0015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2.3 </w:t>
      </w: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Dyrektywa 2016/1148 – 06.07.2016 - w sprawie środków na rzecz 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>wysokiego wspólnego poziomu bezpieczeństwa sieci i systemów informatycznych</w:t>
      </w: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na terytorium Unii </w:t>
      </w:r>
    </w:p>
    <w:p w:rsidR="00153961" w:rsidRPr="00153961" w:rsidRDefault="00153961" w:rsidP="00153961">
      <w:pPr>
        <w:numPr>
          <w:ilvl w:val="0"/>
          <w:numId w:val="16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>Przedsiębiorstwa świadczące kluczowe usługi (w takich dziedzinach jak energia, transport czy bankowość) będą musiały spełnić dodatkowe wymagania w zakresie bezpieczeństwa i zgłaszania incydentów</w:t>
      </w:r>
    </w:p>
    <w:p w:rsidR="00153961" w:rsidRDefault="00153961" w:rsidP="0015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ACE" w:rsidRDefault="00817ACE" w:rsidP="0015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ACE" w:rsidRPr="00153961" w:rsidRDefault="00817ACE" w:rsidP="0015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  <w:lastRenderedPageBreak/>
        <w:t>3. Strategie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3.1. </w:t>
      </w:r>
      <w:r w:rsidRPr="00153961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Unijna Strategia w dziedzinie walki z terroryzmem 2005 r.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Oparta na czterech filarach:</w:t>
      </w:r>
    </w:p>
    <w:p w:rsidR="00153961" w:rsidRPr="00153961" w:rsidRDefault="00153961" w:rsidP="00153961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Zapobieganie</w:t>
      </w:r>
    </w:p>
    <w:p w:rsidR="00153961" w:rsidRPr="00153961" w:rsidRDefault="00153961" w:rsidP="00153961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Ochrona</w:t>
      </w:r>
    </w:p>
    <w:p w:rsidR="00153961" w:rsidRPr="00153961" w:rsidRDefault="00153961" w:rsidP="00153961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Ściganie </w:t>
      </w:r>
    </w:p>
    <w:p w:rsidR="00153961" w:rsidRPr="00153961" w:rsidRDefault="00153961" w:rsidP="00153961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Reagowanie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3.2. </w:t>
      </w:r>
      <w:r w:rsidRPr="00153961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Priorytety na 2017 r. Koordynatora ds. Zwalczania terroryzmu </w:t>
      </w: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– </w:t>
      </w:r>
      <w:proofErr w:type="spellStart"/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Gilles</w:t>
      </w:r>
      <w:proofErr w:type="spellEnd"/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de </w:t>
      </w:r>
      <w:proofErr w:type="spellStart"/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Kerchove</w:t>
      </w:r>
      <w:proofErr w:type="spellEnd"/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Walka z ekstremizmem w Internecie</w:t>
      </w:r>
    </w:p>
    <w:p w:rsidR="00153961" w:rsidRPr="00153961" w:rsidRDefault="00153961" w:rsidP="0015396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Problem zagranicznych bojowników </w:t>
      </w:r>
    </w:p>
    <w:p w:rsidR="00153961" w:rsidRPr="00153961" w:rsidRDefault="00153961" w:rsidP="00153961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Współpraca międzynarodowa 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keepNext/>
        <w:keepLines/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333333"/>
          <w:sz w:val="24"/>
          <w:szCs w:val="24"/>
          <w:u w:val="single"/>
          <w:lang w:eastAsia="en-US"/>
        </w:rPr>
      </w:pPr>
      <w:r w:rsidRPr="00153961">
        <w:rPr>
          <w:rFonts w:ascii="Calibri" w:eastAsia="Times New Roman" w:hAnsi="Calibri" w:cs="Times New Roman"/>
          <w:bCs/>
          <w:color w:val="333333"/>
          <w:sz w:val="24"/>
          <w:szCs w:val="24"/>
          <w:lang w:eastAsia="en-US"/>
        </w:rPr>
        <w:t xml:space="preserve">3.3. </w:t>
      </w:r>
      <w:r w:rsidRPr="00153961">
        <w:rPr>
          <w:rFonts w:ascii="Calibri" w:eastAsia="Times New Roman" w:hAnsi="Calibri" w:cs="Times New Roman"/>
          <w:b/>
          <w:bCs/>
          <w:color w:val="333333"/>
          <w:sz w:val="24"/>
          <w:szCs w:val="24"/>
          <w:u w:val="single"/>
          <w:lang w:eastAsia="en-US"/>
        </w:rPr>
        <w:t xml:space="preserve">Globalna Strategia UE na rzecz unijnej polityki zagranicznej i bezpieczeństwa </w:t>
      </w:r>
    </w:p>
    <w:p w:rsidR="00153961" w:rsidRPr="00153961" w:rsidRDefault="00153961" w:rsidP="00153961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Wdrożona w czerwcu 2016</w:t>
      </w:r>
    </w:p>
    <w:p w:rsidR="00153961" w:rsidRPr="00153961" w:rsidRDefault="00153961" w:rsidP="00153961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Strategiczne priorytety: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>Bezpieczeństwo i obrona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 xml:space="preserve">Budowa państwowej i społecznej odporności 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 xml:space="preserve">Zintegrowane podejście do konfliktów 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>Aktualizowanie istniejących strategii i przygotowanie nowych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 xml:space="preserve">Wzmocnienie dyplomacji publicznej </w:t>
      </w:r>
    </w:p>
    <w:p w:rsidR="00153961" w:rsidRPr="00153961" w:rsidRDefault="00153961" w:rsidP="00153961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Osiągniecia 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Nowe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centrum dowodzenia dla unijnych szkoleń wojskowych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 i misji doradczych 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Przygotowania do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stałej współpracy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 w dziedzinie obrony wśród zainteresowanych państw członkowskich 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Wzmocniona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współpraca z priorytetowymi partnerami na Bliskim Wschodzie, w Afryce Północnej, na Bałkanach Zachodnich i w Turcji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>.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Zwiększony zasięg do świata arabskiego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>, w tym poprzez Radę Współpracy Zatoki Perskiej i Ligę Arabską</w:t>
      </w:r>
    </w:p>
    <w:p w:rsidR="00153961" w:rsidRPr="00153961" w:rsidRDefault="00153961" w:rsidP="00153961">
      <w:pPr>
        <w:numPr>
          <w:ilvl w:val="1"/>
          <w:numId w:val="11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Dalsze prace Komisji mające na celu </w:t>
      </w:r>
      <w:r w:rsidRPr="00153961">
        <w:rPr>
          <w:rFonts w:ascii="Calibri" w:eastAsia="Times New Roman" w:hAnsi="Calibri" w:cs="Times New Roman"/>
          <w:b/>
          <w:color w:val="2F5496"/>
          <w:sz w:val="24"/>
          <w:szCs w:val="24"/>
          <w:lang w:eastAsia="en-US"/>
        </w:rPr>
        <w:t>zmianę obecnej strategii UE w dziedzinie bezpieczeństwa cybernetycznego</w:t>
      </w: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 oraz zestaw narzędzi </w:t>
      </w:r>
      <w:proofErr w:type="spellStart"/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>cyber</w:t>
      </w:r>
      <w:proofErr w:type="spellEnd"/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>-dyplomacji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  <w:t>4. Raporty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4.1. Raport LIBE o Unijnych Politykach zwalczania terroryzmu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hyperlink r:id="rId11" w:history="1">
        <w:r w:rsidRPr="00153961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http://www.europarl.europa.eu/RegData/etudes/STUD/2017/583124/IPOL_STU(2017)583124_EN.pdf</w:t>
        </w:r>
      </w:hyperlink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4.2. Raport Koordynatora ds. Zwalczania terroryzmu o implementacji programu antyterrorystycznego ustalonego przez Radę Europejską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  <w:hyperlink r:id="rId12" w:history="1">
        <w:r w:rsidRPr="00153961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http://data.consilium.europa.eu/doc/document/ST-14260-2016-ADD-1-EXT-1/en/pdf</w:t>
        </w:r>
      </w:hyperlink>
      <w:r w:rsidRPr="00153961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 xml:space="preserve">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4.3. Raport Europol-a o sytuacji i trendach terroryzmu w Unii Europejskiej 2017 r.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hyperlink r:id="rId13" w:history="1">
        <w:r w:rsidRPr="00153961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https://www.europol.europa.eu/activities-services/main-reports/eu-terrorism-situation-and-trend-report-te-sat-2017</w:t>
        </w:r>
      </w:hyperlink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6"/>
          <w:lang w:eastAsia="en-US"/>
        </w:rPr>
        <w:lastRenderedPageBreak/>
        <w:t>5. Rozporządzenia w sprawach: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5.1. 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>Szczególnych środków restrykcyjnych skierowanych przeciwko niektórym osobom i podmiotom</w:t>
      </w:r>
    </w:p>
    <w:p w:rsidR="00153961" w:rsidRPr="00153961" w:rsidRDefault="00153961" w:rsidP="00153961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>Rozporządzenie wykonawcze Rady (UE) 2017/965 – 08.06.2017</w:t>
      </w:r>
    </w:p>
    <w:p w:rsidR="00153961" w:rsidRPr="00153961" w:rsidRDefault="00153961" w:rsidP="00153961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Rozporządzenie wykonawcze Rady (UE) 2017/404 – 07.03.2017</w:t>
      </w:r>
    </w:p>
    <w:p w:rsidR="00153961" w:rsidRPr="00153961" w:rsidRDefault="00153961" w:rsidP="00153961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Rozporządzenie wykonawcze Rady (UE) 2017/150 – 27.01.2017</w:t>
      </w:r>
    </w:p>
    <w:p w:rsidR="00153961" w:rsidRPr="00153961" w:rsidRDefault="00153961" w:rsidP="00153961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>Rozporządzenie wykonawcze Rady (UE) 2016/2373 – 22.12.2016</w:t>
      </w:r>
    </w:p>
    <w:p w:rsidR="00153961" w:rsidRPr="00153961" w:rsidRDefault="00153961" w:rsidP="00153961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>Rozporządzenie Rady (UE) 2016/1710 – 27.09.2016</w:t>
      </w:r>
    </w:p>
    <w:p w:rsidR="00153961" w:rsidRPr="00153961" w:rsidRDefault="00153961" w:rsidP="00153961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>Rozporządzenie wykonawcze Rady (UE) 2016/1127 – 12.07.2016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5.2. 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>Zintensyfikowania odpraw na granicach zewnętrznych z wykorzystaniem odpowiednich baz danych</w:t>
      </w:r>
    </w:p>
    <w:p w:rsidR="00153961" w:rsidRPr="00153961" w:rsidRDefault="00153961" w:rsidP="00153961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Rozporządzenie parlamentu europejskiego i rady (UE) 2017/458 – 15.03.2017 </w:t>
      </w:r>
    </w:p>
    <w:p w:rsidR="00153961" w:rsidRPr="00153961" w:rsidRDefault="00153961" w:rsidP="00153961">
      <w:pPr>
        <w:numPr>
          <w:ilvl w:val="1"/>
          <w:numId w:val="14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  <w:t>Wszyscy obywatele UE i państw trzecich opuszczający lub wjeżdżający na terytorium UE będą poddawani kontroli</w:t>
      </w: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>5.3.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Europejskiej Straży Granicznej i Przybrzeżnej</w:t>
      </w:r>
    </w:p>
    <w:p w:rsidR="00153961" w:rsidRPr="00153961" w:rsidRDefault="00153961" w:rsidP="00153961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Rozporządzenie Parlamentu Europejskiego i Rady (UE) 2016/1624 – 14.09.2016 </w:t>
      </w:r>
    </w:p>
    <w:p w:rsidR="00153961" w:rsidRPr="00153961" w:rsidRDefault="00153961" w:rsidP="00153961">
      <w:pPr>
        <w:numPr>
          <w:ilvl w:val="1"/>
          <w:numId w:val="5"/>
        </w:numPr>
        <w:spacing w:after="0" w:line="240" w:lineRule="auto"/>
        <w:contextualSpacing/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4"/>
          <w:szCs w:val="24"/>
          <w:lang w:eastAsia="en-US"/>
        </w:rPr>
        <w:t xml:space="preserve">Rozporządzenie ustanowiło Europejską Straż Graniczną i Przybrzeżną, aby zapewnić europejskie zintegrowane zarządzanie granicami na granicach zewnętrznych w celu w celu zapewnienia wysokiego poziomu bezpieczeństwa wewnętrznego w Unii przy pełnym poszanowaniu praw podstawowych oraz zagwarantowaniu swobodnego przepływu osób w Unii.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 Light" w:eastAsia="Calibri" w:hAnsi="Calibri Light" w:cs="Times New Roman"/>
          <w:color w:val="2F5496"/>
          <w:sz w:val="28"/>
          <w:szCs w:val="28"/>
          <w:lang w:eastAsia="en-US"/>
        </w:rPr>
      </w:pPr>
      <w:r w:rsidRPr="00153961">
        <w:rPr>
          <w:rFonts w:ascii="Calibri Light" w:eastAsia="Calibri" w:hAnsi="Calibri Light" w:cs="Times New Roman"/>
          <w:color w:val="2F5496"/>
          <w:sz w:val="28"/>
          <w:szCs w:val="28"/>
          <w:lang w:eastAsia="en-US"/>
        </w:rPr>
        <w:t xml:space="preserve">6. Decyzje </w:t>
      </w:r>
      <w:r w:rsidRPr="00153961">
        <w:rPr>
          <w:rFonts w:ascii="Calibri Light" w:eastAsia="Calibri" w:hAnsi="Calibri Light" w:cs="Times"/>
          <w:color w:val="2F5496"/>
          <w:sz w:val="28"/>
          <w:szCs w:val="28"/>
          <w:lang w:eastAsia="en-US"/>
        </w:rPr>
        <w:t>Sądu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6.1 Decyzja Trybunału Sprawiedliwości (UE) 2016/2386 – 20.09.2016 </w:t>
      </w:r>
    </w:p>
    <w:p w:rsidR="00153961" w:rsidRPr="00153961" w:rsidRDefault="00153961" w:rsidP="00153961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w sprawie </w:t>
      </w:r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zasad bezpieczeństwa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 mających zastosowanie do informacji lub materiałów przedstawionych Sadowi na podstawie art. 105 jego regulaminu postepowania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6.2 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</w:t>
      </w:r>
      <w:proofErr w:type="spellStart"/>
      <w:r w:rsidRPr="00153961">
        <w:rPr>
          <w:rFonts w:ascii="Calibri" w:eastAsia="Calibri" w:hAnsi="Calibri" w:cs="Times"/>
          <w:sz w:val="24"/>
          <w:szCs w:val="24"/>
          <w:lang w:eastAsia="en-US"/>
        </w:rPr>
        <w:t>Sądu</w:t>
      </w:r>
      <w:proofErr w:type="spellEnd"/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 (UE) 2016/2387 – 14.09.2016</w:t>
      </w:r>
    </w:p>
    <w:p w:rsidR="00153961" w:rsidRPr="00153961" w:rsidRDefault="00153961" w:rsidP="00153961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w sprawie </w:t>
      </w:r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zasad bezpieczeństwa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 mających zastosowanie do informacji lub materiałów przedstawionych na podstawie art. 105 § 1 lub § 2 regulaminu postepowania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 Light" w:eastAsia="Calibri" w:hAnsi="Calibri Light" w:cs="Times"/>
          <w:color w:val="2F5496"/>
          <w:sz w:val="28"/>
          <w:szCs w:val="28"/>
          <w:lang w:eastAsia="en-US"/>
        </w:rPr>
      </w:pPr>
      <w:r w:rsidRPr="00153961">
        <w:rPr>
          <w:rFonts w:ascii="Calibri Light" w:eastAsia="Calibri" w:hAnsi="Calibri Light" w:cs="Times"/>
          <w:color w:val="2F5496"/>
          <w:sz w:val="28"/>
          <w:szCs w:val="28"/>
          <w:lang w:eastAsia="en-US"/>
        </w:rPr>
        <w:t>7. Decyzje wykonawcze Rady w sprawach: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7.1</w:t>
      </w:r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 xml:space="preserve"> Jądrowego bezpieczeństwa fizycznego</w:t>
      </w:r>
    </w:p>
    <w:p w:rsidR="00153961" w:rsidRPr="00153961" w:rsidRDefault="00153961" w:rsidP="0015396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Rady (</w:t>
      </w:r>
      <w:proofErr w:type="spellStart"/>
      <w:r w:rsidRPr="00153961">
        <w:rPr>
          <w:rFonts w:ascii="Calibri" w:eastAsia="Calibri" w:hAnsi="Calibri" w:cs="Times"/>
          <w:sz w:val="24"/>
          <w:szCs w:val="24"/>
          <w:lang w:eastAsia="en-US"/>
        </w:rPr>
        <w:t>WPZiB</w:t>
      </w:r>
      <w:proofErr w:type="spellEnd"/>
      <w:r w:rsidRPr="00153961">
        <w:rPr>
          <w:rFonts w:ascii="Calibri" w:eastAsia="Calibri" w:hAnsi="Calibri" w:cs="Times"/>
          <w:sz w:val="24"/>
          <w:szCs w:val="24"/>
          <w:lang w:eastAsia="en-US"/>
        </w:rPr>
        <w:t>) 2016/2383 – 21.12.2016</w:t>
      </w:r>
    </w:p>
    <w:p w:rsidR="00153961" w:rsidRPr="00153961" w:rsidRDefault="00153961" w:rsidP="00153961">
      <w:pPr>
        <w:numPr>
          <w:ilvl w:val="1"/>
          <w:numId w:val="5"/>
        </w:numPr>
        <w:spacing w:after="0" w:line="240" w:lineRule="auto"/>
        <w:contextualSpacing/>
        <w:rPr>
          <w:rFonts w:ascii="Calibri Light" w:eastAsia="Calibri" w:hAnsi="Calibri Light" w:cs="Times New Roman"/>
          <w:color w:val="2F5496"/>
          <w:sz w:val="24"/>
          <w:szCs w:val="24"/>
          <w:lang w:eastAsia="en-US"/>
        </w:rPr>
      </w:pPr>
      <w:r w:rsidRPr="00153961">
        <w:rPr>
          <w:rFonts w:ascii="Calibri Light" w:eastAsia="Calibri" w:hAnsi="Calibri Light" w:cs="Times"/>
          <w:color w:val="2F5496"/>
          <w:sz w:val="24"/>
          <w:szCs w:val="24"/>
          <w:lang w:eastAsia="en-US"/>
        </w:rPr>
        <w:t xml:space="preserve">Decyzja wspiera Międzynarodową Agencję Energii Atomowej w dziedzinie jądrowego bezpieczeństwa fizycznego oraz w ramach wdrążania strategii UE przeciwko rozprzestrzenianiu broni masowego rażenia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7.2.</w:t>
      </w:r>
      <w:r w:rsidRPr="00153961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Wymiany danych daktyloskopijnych</w:t>
      </w:r>
    </w:p>
    <w:p w:rsidR="00153961" w:rsidRPr="00153961" w:rsidRDefault="00153961" w:rsidP="001539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wykonawcza Rady (UE) 2016/2048 – 18.11.2016 </w:t>
      </w:r>
    </w:p>
    <w:p w:rsidR="00153961" w:rsidRPr="00153961" w:rsidRDefault="00153961" w:rsidP="001539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wykonawcza Rady (UE) 2017/946 – 18.05.2017 </w:t>
      </w:r>
    </w:p>
    <w:p w:rsidR="00153961" w:rsidRPr="00153961" w:rsidRDefault="00153961" w:rsidP="00153961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Decyzja wykonawcza Rady (UE) 2017/944 – 18.05.2017 </w:t>
      </w: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7.3.</w:t>
      </w:r>
      <w:r w:rsidRPr="00153961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Wymiany danych DNA </w:t>
      </w:r>
    </w:p>
    <w:p w:rsidR="00153961" w:rsidRPr="00153961" w:rsidRDefault="00153961" w:rsidP="001539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wykonawcza Rady (UE) 2016/2047 – 18.11.2016 </w:t>
      </w:r>
    </w:p>
    <w:p w:rsidR="00153961" w:rsidRPr="00153961" w:rsidRDefault="00153961" w:rsidP="001539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wykonawcza Rady (UE) 2017/617 – 27.03.2017 </w:t>
      </w:r>
    </w:p>
    <w:p w:rsidR="00153961" w:rsidRPr="00153961" w:rsidRDefault="00153961" w:rsidP="001539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wykonawcza Rady (UE) 2017/945 – 18.05.2017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>7.4.</w:t>
      </w:r>
      <w:r w:rsidRPr="00153961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Wymiany informacji o rejestracjach pojazdów </w:t>
      </w:r>
    </w:p>
    <w:p w:rsidR="00153961" w:rsidRPr="00153961" w:rsidRDefault="00153961" w:rsidP="00153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Decyzja wykonawcza Rady (UE) 2017/1020 – 08.06.2017 </w:t>
      </w:r>
    </w:p>
    <w:p w:rsidR="00153961" w:rsidRPr="00153961" w:rsidRDefault="00153961" w:rsidP="00153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wykonawcza Rady (UE) 2017/618 – 27.03.2017</w:t>
      </w:r>
    </w:p>
    <w:p w:rsidR="00153961" w:rsidRPr="00153961" w:rsidRDefault="00153961" w:rsidP="001539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wykonawcza Rady (UE) 2017/943 – 18.05.2017</w:t>
      </w:r>
    </w:p>
    <w:p w:rsidR="00153961" w:rsidRPr="00153961" w:rsidRDefault="00153961" w:rsidP="00153961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Decyzja wykonawcza Rady (UE) 2017/947 – 18.05.2017 </w:t>
      </w: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7.5. </w:t>
      </w:r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Aktualizacji wykazu osób, grup i podmiotów</w:t>
      </w:r>
    </w:p>
    <w:p w:rsidR="00153961" w:rsidRPr="00153961" w:rsidRDefault="00153961" w:rsidP="001539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Rady (</w:t>
      </w:r>
      <w:proofErr w:type="spellStart"/>
      <w:r w:rsidRPr="00153961">
        <w:rPr>
          <w:rFonts w:ascii="Calibri" w:eastAsia="Calibri" w:hAnsi="Calibri" w:cs="Times"/>
          <w:sz w:val="24"/>
          <w:szCs w:val="24"/>
          <w:lang w:eastAsia="en-US"/>
        </w:rPr>
        <w:t>WPZiB</w:t>
      </w:r>
      <w:proofErr w:type="spellEnd"/>
      <w:r w:rsidRPr="00153961">
        <w:rPr>
          <w:rFonts w:ascii="Calibri" w:eastAsia="Calibri" w:hAnsi="Calibri" w:cs="Times"/>
          <w:sz w:val="24"/>
          <w:szCs w:val="24"/>
          <w:lang w:eastAsia="en-US"/>
        </w:rPr>
        <w:t>) 2017/154 – 27.01.2017</w:t>
      </w:r>
    </w:p>
    <w:p w:rsidR="00153961" w:rsidRPr="00153961" w:rsidRDefault="00153961" w:rsidP="001539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Rady (</w:t>
      </w:r>
      <w:proofErr w:type="spellStart"/>
      <w:r w:rsidRPr="00153961">
        <w:rPr>
          <w:rFonts w:ascii="Calibri" w:eastAsia="Calibri" w:hAnsi="Calibri" w:cs="Times"/>
          <w:sz w:val="24"/>
          <w:szCs w:val="24"/>
          <w:lang w:eastAsia="en-US"/>
        </w:rPr>
        <w:t>WPZiB</w:t>
      </w:r>
      <w:proofErr w:type="spellEnd"/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) 2016/1136 – 12.07.2016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7.6. </w:t>
      </w:r>
      <w:proofErr w:type="spellStart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Środków</w:t>
      </w:r>
      <w:proofErr w:type="spellEnd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 xml:space="preserve"> </w:t>
      </w:r>
      <w:proofErr w:type="spellStart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ograniczających</w:t>
      </w:r>
      <w:proofErr w:type="spellEnd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 xml:space="preserve"> przeciwko ISIL (</w:t>
      </w:r>
      <w:proofErr w:type="spellStart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Daisz</w:t>
      </w:r>
      <w:proofErr w:type="spellEnd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) i Al-Kaidzie</w:t>
      </w:r>
    </w:p>
    <w:p w:rsidR="00153961" w:rsidRPr="00153961" w:rsidRDefault="00153961" w:rsidP="0015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Rady (</w:t>
      </w:r>
      <w:proofErr w:type="spellStart"/>
      <w:r w:rsidRPr="00153961">
        <w:rPr>
          <w:rFonts w:ascii="Calibri" w:eastAsia="Calibri" w:hAnsi="Calibri" w:cs="Times"/>
          <w:sz w:val="24"/>
          <w:szCs w:val="24"/>
          <w:lang w:eastAsia="en-US"/>
        </w:rPr>
        <w:t>WPZiB</w:t>
      </w:r>
      <w:proofErr w:type="spellEnd"/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) 2016/1693 – 20.09.2016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7.7. </w:t>
      </w:r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 xml:space="preserve">Program działania ONZ o zapobieganiu nielegalnemu handlowi </w:t>
      </w:r>
      <w:proofErr w:type="spellStart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bronia</w:t>
      </w:r>
      <w:proofErr w:type="spellEnd"/>
      <w:r w:rsidRPr="00153961">
        <w:rPr>
          <w:rFonts w:ascii="Calibri" w:eastAsia="Calibri" w:hAnsi="Calibri" w:cs="Times"/>
          <w:b/>
          <w:sz w:val="24"/>
          <w:szCs w:val="24"/>
          <w:lang w:eastAsia="en-US"/>
        </w:rPr>
        <w:t>̨</w:t>
      </w:r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contextualSpacing/>
        <w:rPr>
          <w:rFonts w:ascii="Calibri" w:eastAsia="Calibri" w:hAnsi="Calibri" w:cs="Times"/>
          <w:sz w:val="24"/>
          <w:szCs w:val="24"/>
          <w:lang w:eastAsia="en-US"/>
        </w:rPr>
      </w:pPr>
      <w:r w:rsidRPr="00153961">
        <w:rPr>
          <w:rFonts w:ascii="Calibri" w:eastAsia="Calibri" w:hAnsi="Calibri" w:cs="Times"/>
          <w:sz w:val="24"/>
          <w:szCs w:val="24"/>
          <w:lang w:eastAsia="en-US"/>
        </w:rPr>
        <w:t>Decyzja Rady (</w:t>
      </w:r>
      <w:proofErr w:type="spellStart"/>
      <w:r w:rsidRPr="00153961">
        <w:rPr>
          <w:rFonts w:ascii="Calibri" w:eastAsia="Calibri" w:hAnsi="Calibri" w:cs="Times"/>
          <w:sz w:val="24"/>
          <w:szCs w:val="24"/>
          <w:lang w:eastAsia="en-US"/>
        </w:rPr>
        <w:t>WPZiB</w:t>
      </w:r>
      <w:proofErr w:type="spellEnd"/>
      <w:r w:rsidRPr="00153961">
        <w:rPr>
          <w:rFonts w:ascii="Calibri" w:eastAsia="Calibri" w:hAnsi="Calibri" w:cs="Times"/>
          <w:sz w:val="24"/>
          <w:szCs w:val="24"/>
          <w:lang w:eastAsia="en-US"/>
        </w:rPr>
        <w:t xml:space="preserve">) 2017/633 – 03.04.2017 r.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 Light" w:eastAsia="Calibri" w:hAnsi="Calibri Light" w:cs="Times New Roman"/>
          <w:sz w:val="24"/>
          <w:szCs w:val="24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4"/>
          <w:lang w:eastAsia="en-US"/>
        </w:rPr>
        <w:t xml:space="preserve">8. Decyzja wykonawcza Komisji - tak samo jak Rada </w:t>
      </w: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8.1. 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>Adekwatności ochrony zapewnianej przez Tarczę Prywatności UE-USA</w:t>
      </w: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Decyzja wykonawcza Komisji (UE) 2016/1250 – 12.07.2016 </w:t>
      </w: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8.2. </w:t>
      </w:r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Przyjęcia podręcznika SIRENE i innych środków wykonawczych dla systemu informacyjnego </w:t>
      </w:r>
      <w:proofErr w:type="spellStart"/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>Schengen</w:t>
      </w:r>
      <w:proofErr w:type="spellEnd"/>
      <w:r w:rsidRPr="00153961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drugiej generacji</w:t>
      </w:r>
    </w:p>
    <w:p w:rsidR="00153961" w:rsidRPr="00153961" w:rsidRDefault="00153961" w:rsidP="00153961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5396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Decyzja wykonawcza Komisji (UE) 2016/1209 – 12.07.2016 </w:t>
      </w:r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n-US"/>
        </w:rPr>
      </w:pPr>
    </w:p>
    <w:p w:rsidR="00153961" w:rsidRPr="00153961" w:rsidRDefault="00153961" w:rsidP="00153961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8"/>
          <w:szCs w:val="28"/>
          <w:lang w:eastAsia="en-US"/>
        </w:rPr>
      </w:pPr>
      <w:r w:rsidRPr="00153961">
        <w:rPr>
          <w:rFonts w:ascii="Calibri Light" w:eastAsia="Times New Roman" w:hAnsi="Calibri Light" w:cs="Times New Roman"/>
          <w:color w:val="2F5496"/>
          <w:sz w:val="28"/>
          <w:szCs w:val="28"/>
          <w:lang w:eastAsia="en-US"/>
        </w:rPr>
        <w:t>9. Pomocne linki:</w:t>
      </w:r>
    </w:p>
    <w:p w:rsidR="00153961" w:rsidRPr="00153961" w:rsidRDefault="00153961" w:rsidP="00153961">
      <w:pPr>
        <w:keepNext/>
        <w:keepLines/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333333"/>
          <w:sz w:val="24"/>
          <w:szCs w:val="24"/>
          <w:u w:val="single"/>
          <w:lang w:eastAsia="en-US"/>
        </w:rPr>
      </w:pPr>
      <w:r w:rsidRPr="00153961">
        <w:rPr>
          <w:rFonts w:ascii="Calibri" w:eastAsia="Times New Roman" w:hAnsi="Calibri" w:cs="Times New Roman"/>
          <w:b/>
          <w:bCs/>
          <w:color w:val="333333"/>
          <w:sz w:val="24"/>
          <w:szCs w:val="24"/>
          <w:u w:val="single"/>
          <w:lang w:eastAsia="en-US"/>
        </w:rPr>
        <w:t xml:space="preserve">Globalna Strategia UE na rzecz unijnej polityki zagranicznej i bezpieczeństwa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hyperlink r:id="rId14" w:history="1">
        <w:r w:rsidRPr="00153961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http://www.eeas.europa.eu/archives/docs/top_stories/pdf/eugs_review_web.pdf</w:t>
        </w:r>
      </w:hyperlink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r w:rsidRPr="00153961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Komisja Europejska – Migracja i Sprawy Wewnętrzne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hyperlink r:id="rId15" w:history="1">
        <w:r w:rsidRPr="00153961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https://ec.europa.eu/home-affairs/what-we-do/policies/crisis-and-terrorism_en</w:t>
        </w:r>
      </w:hyperlink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r w:rsidRPr="00153961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>Rada Europejska – Unijna walka z terroryzmem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hyperlink r:id="rId16" w:history="1">
        <w:r w:rsidRPr="00153961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http://www.consilium.europa.eu/pl/policies/fight-against-terrorism/</w:t>
        </w:r>
      </w:hyperlink>
      <w:r w:rsidRPr="001539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r w:rsidRPr="00153961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Parlament Europejski – Aktualności </w:t>
      </w:r>
    </w:p>
    <w:p w:rsidR="00153961" w:rsidRPr="00153961" w:rsidRDefault="00153961" w:rsidP="001539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hyperlink r:id="rId17" w:history="1">
        <w:r w:rsidRPr="00153961">
          <w:rPr>
            <w:rFonts w:ascii="Calibri" w:eastAsia="Calibri" w:hAnsi="Calibri" w:cs="Times New Roman"/>
            <w:bCs/>
            <w:color w:val="0563C1"/>
            <w:kern w:val="36"/>
            <w:sz w:val="24"/>
            <w:szCs w:val="24"/>
            <w:u w:val="single"/>
            <w:lang w:eastAsia="en-US"/>
          </w:rPr>
          <w:t>http://www.europarl.europa.eu/news/pl/headlines/priorities/20151125TST04632</w:t>
        </w:r>
      </w:hyperlink>
      <w:r w:rsidRPr="00153961">
        <w:rPr>
          <w:rFonts w:ascii="Calibri" w:eastAsia="Calibri" w:hAnsi="Calibri" w:cs="Times New Roman"/>
          <w:bCs/>
          <w:kern w:val="36"/>
          <w:sz w:val="24"/>
          <w:szCs w:val="24"/>
          <w:lang w:eastAsia="en-US"/>
        </w:rPr>
        <w:t xml:space="preserve"> </w:t>
      </w:r>
    </w:p>
    <w:p w:rsidR="00B77B19" w:rsidRDefault="00B77B19" w:rsidP="0054132B">
      <w:pPr>
        <w:jc w:val="both"/>
        <w:rPr>
          <w:sz w:val="24"/>
          <w:szCs w:val="24"/>
        </w:rPr>
      </w:pPr>
    </w:p>
    <w:sectPr w:rsidR="00B77B1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BB" w:rsidRDefault="00173EBB" w:rsidP="00E81CD4">
      <w:pPr>
        <w:spacing w:after="0" w:line="240" w:lineRule="auto"/>
      </w:pPr>
      <w:r>
        <w:separator/>
      </w:r>
    </w:p>
  </w:endnote>
  <w:endnote w:type="continuationSeparator" w:id="0">
    <w:p w:rsidR="00173EBB" w:rsidRDefault="00173EBB" w:rsidP="00E8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BB" w:rsidRDefault="00173EBB" w:rsidP="00E81CD4">
      <w:pPr>
        <w:spacing w:after="0" w:line="240" w:lineRule="auto"/>
      </w:pPr>
      <w:r>
        <w:separator/>
      </w:r>
    </w:p>
  </w:footnote>
  <w:footnote w:type="continuationSeparator" w:id="0">
    <w:p w:rsidR="00173EBB" w:rsidRDefault="00173EBB" w:rsidP="00E8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2B" w:rsidRDefault="00153961">
    <w:pPr>
      <w:pStyle w:val="Nagwek"/>
    </w:pPr>
    <w:r>
      <w:tab/>
    </w:r>
    <w:r>
      <w:tab/>
      <w:t>23.06.2017</w:t>
    </w:r>
    <w:r w:rsidR="0054132B"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B3"/>
    <w:multiLevelType w:val="hybridMultilevel"/>
    <w:tmpl w:val="DAF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2ED"/>
    <w:multiLevelType w:val="hybridMultilevel"/>
    <w:tmpl w:val="BC12B59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837237"/>
    <w:multiLevelType w:val="hybridMultilevel"/>
    <w:tmpl w:val="E9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2F02"/>
    <w:multiLevelType w:val="hybridMultilevel"/>
    <w:tmpl w:val="585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0E82"/>
    <w:multiLevelType w:val="hybridMultilevel"/>
    <w:tmpl w:val="67EEB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C5B4E"/>
    <w:multiLevelType w:val="hybridMultilevel"/>
    <w:tmpl w:val="45228B7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BDA5E7E"/>
    <w:multiLevelType w:val="hybridMultilevel"/>
    <w:tmpl w:val="84AAF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4B9D"/>
    <w:multiLevelType w:val="hybridMultilevel"/>
    <w:tmpl w:val="FE5257B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419BC"/>
    <w:multiLevelType w:val="hybridMultilevel"/>
    <w:tmpl w:val="94FE801E"/>
    <w:lvl w:ilvl="0" w:tplc="6F847346">
      <w:start w:val="1"/>
      <w:numFmt w:val="upperRoman"/>
      <w:lvlText w:val="%1."/>
      <w:lvlJc w:val="left"/>
      <w:pPr>
        <w:ind w:left="9509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6F45"/>
    <w:multiLevelType w:val="multilevel"/>
    <w:tmpl w:val="DCE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636EA"/>
    <w:multiLevelType w:val="hybridMultilevel"/>
    <w:tmpl w:val="C9C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678A"/>
    <w:multiLevelType w:val="hybridMultilevel"/>
    <w:tmpl w:val="82CAE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394C"/>
    <w:multiLevelType w:val="hybridMultilevel"/>
    <w:tmpl w:val="D6F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347B7"/>
    <w:multiLevelType w:val="hybridMultilevel"/>
    <w:tmpl w:val="6A3E2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76858"/>
    <w:multiLevelType w:val="hybridMultilevel"/>
    <w:tmpl w:val="650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D353E"/>
    <w:multiLevelType w:val="hybridMultilevel"/>
    <w:tmpl w:val="893AF53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71CB4"/>
    <w:multiLevelType w:val="hybridMultilevel"/>
    <w:tmpl w:val="ABF6AF0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F2222"/>
    <w:multiLevelType w:val="hybridMultilevel"/>
    <w:tmpl w:val="566260B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60034"/>
    <w:multiLevelType w:val="hybridMultilevel"/>
    <w:tmpl w:val="170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5229A"/>
    <w:multiLevelType w:val="multilevel"/>
    <w:tmpl w:val="715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18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E"/>
    <w:rsid w:val="0003649F"/>
    <w:rsid w:val="00113AD8"/>
    <w:rsid w:val="00153961"/>
    <w:rsid w:val="00173EBB"/>
    <w:rsid w:val="0017405F"/>
    <w:rsid w:val="001A18D6"/>
    <w:rsid w:val="002044A1"/>
    <w:rsid w:val="002E2E77"/>
    <w:rsid w:val="002F257A"/>
    <w:rsid w:val="00483BAE"/>
    <w:rsid w:val="0054132B"/>
    <w:rsid w:val="005F249E"/>
    <w:rsid w:val="00776CE1"/>
    <w:rsid w:val="0078392A"/>
    <w:rsid w:val="00817ACE"/>
    <w:rsid w:val="00864C29"/>
    <w:rsid w:val="00B13136"/>
    <w:rsid w:val="00B229AE"/>
    <w:rsid w:val="00B77B19"/>
    <w:rsid w:val="00CA5DB3"/>
    <w:rsid w:val="00E81CD4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CD4"/>
  </w:style>
  <w:style w:type="paragraph" w:styleId="Stopka">
    <w:name w:val="footer"/>
    <w:basedOn w:val="Normalny"/>
    <w:link w:val="StopkaZnak"/>
    <w:uiPriority w:val="99"/>
    <w:unhideWhenUsed/>
    <w:rsid w:val="00E8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CD4"/>
  </w:style>
  <w:style w:type="paragraph" w:styleId="Tekstdymka">
    <w:name w:val="Balloon Text"/>
    <w:basedOn w:val="Normalny"/>
    <w:link w:val="TekstdymkaZnak"/>
    <w:uiPriority w:val="99"/>
    <w:semiHidden/>
    <w:unhideWhenUsed/>
    <w:rsid w:val="00E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6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CD4"/>
  </w:style>
  <w:style w:type="paragraph" w:styleId="Stopka">
    <w:name w:val="footer"/>
    <w:basedOn w:val="Normalny"/>
    <w:link w:val="StopkaZnak"/>
    <w:uiPriority w:val="99"/>
    <w:unhideWhenUsed/>
    <w:rsid w:val="00E8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CD4"/>
  </w:style>
  <w:style w:type="paragraph" w:styleId="Tekstdymka">
    <w:name w:val="Balloon Text"/>
    <w:basedOn w:val="Normalny"/>
    <w:link w:val="TekstdymkaZnak"/>
    <w:uiPriority w:val="99"/>
    <w:semiHidden/>
    <w:unhideWhenUsed/>
    <w:rsid w:val="00E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pol.europa.eu/activities-services/main-reports/eu-terrorism-situation-and-trend-report-te-sat-2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ta.consilium.europa.eu/doc/document/ST-14260-2016-ADD-1-EXT-1/en/pdf" TargetMode="External"/><Relationship Id="rId17" Type="http://schemas.openxmlformats.org/officeDocument/2006/relationships/hyperlink" Target="http://www.europarl.europa.eu/news/pl/headlines/priorities/20151125TST04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ilium.europa.eu/pl/policies/fight-against-terroris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rl.europa.eu/RegData/etudes/STUD/2017/583124/IPOL_STU(2017)583124_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home-affairs/what-we-do/policies/crisis-and-terrorism_en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eas.europa.eu/archives/docs/top_stories/pdf/eugs_review_we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B9F1-82AE-4A19-8739-1AF6862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Kofluk</dc:creator>
  <cp:lastModifiedBy>Poseł</cp:lastModifiedBy>
  <cp:revision>2</cp:revision>
  <cp:lastPrinted>2017-06-22T13:50:00Z</cp:lastPrinted>
  <dcterms:created xsi:type="dcterms:W3CDTF">2017-06-22T13:51:00Z</dcterms:created>
  <dcterms:modified xsi:type="dcterms:W3CDTF">2017-06-22T13:51:00Z</dcterms:modified>
</cp:coreProperties>
</file>